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Pr="005A1AD4" w:rsidRDefault="001445DF" w:rsidP="000E5259">
            <w:pPr>
              <w:tabs>
                <w:tab w:val="left" w:pos="1105"/>
              </w:tabs>
              <w:rPr>
                <w:rFonts w:ascii="Arial" w:hAnsi="Arial" w:cs="Arial"/>
                <w:b/>
                <w:sz w:val="20"/>
                <w:szCs w:val="20"/>
              </w:rPr>
            </w:pPr>
            <w:r w:rsidRPr="005A1AD4">
              <w:rPr>
                <w:rFonts w:ascii="Arial" w:hAnsi="Arial" w:cs="Arial"/>
                <w:b/>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Pr="005A1AD4" w:rsidRDefault="005A1AD4" w:rsidP="000E5259">
            <w:pPr>
              <w:tabs>
                <w:tab w:val="left" w:pos="1105"/>
              </w:tabs>
              <w:rPr>
                <w:rFonts w:ascii="Arial" w:hAnsi="Arial" w:cs="Arial"/>
                <w:b/>
                <w:sz w:val="20"/>
                <w:szCs w:val="20"/>
              </w:rPr>
            </w:pPr>
            <w:r w:rsidRPr="005A1AD4">
              <w:rPr>
                <w:rFonts w:ascii="Arial" w:hAnsi="Arial" w:cs="Arial"/>
                <w:b/>
                <w:sz w:val="20"/>
                <w:szCs w:val="20"/>
              </w:rPr>
              <w:t>02/04</w:t>
            </w:r>
            <w:r w:rsidR="001445DF" w:rsidRPr="005A1AD4">
              <w:rPr>
                <w:rFonts w:ascii="Arial" w:hAnsi="Arial" w:cs="Arial"/>
                <w:b/>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ENVIRONMENT</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5A1AD4" w:rsidRDefault="001445DF" w:rsidP="001445DF">
            <w:pPr>
              <w:tabs>
                <w:tab w:val="left" w:pos="1105"/>
              </w:tabs>
              <w:rPr>
                <w:rFonts w:ascii="Arial" w:hAnsi="Arial" w:cs="Arial"/>
                <w:b/>
                <w:sz w:val="16"/>
                <w:szCs w:val="16"/>
              </w:rPr>
            </w:pPr>
            <w:r w:rsidRPr="005A1AD4">
              <w:rPr>
                <w:rFonts w:ascii="Arial" w:hAnsi="Arial" w:cs="Arial"/>
                <w:b/>
                <w:sz w:val="16"/>
                <w:szCs w:val="16"/>
              </w:rPr>
              <w:t>X</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346BFF" w:rsidRPr="00D62D49" w:rsidRDefault="00346BFF" w:rsidP="000E5259">
            <w:pPr>
              <w:tabs>
                <w:tab w:val="left" w:pos="1105"/>
              </w:tabs>
              <w:rPr>
                <w:rFonts w:ascii="Arial" w:hAnsi="Arial" w:cs="Arial"/>
                <w:b/>
                <w:sz w:val="20"/>
                <w:szCs w:val="20"/>
              </w:rPr>
            </w:pPr>
          </w:p>
          <w:p w:rsidR="00EF783B" w:rsidRPr="00D62D49" w:rsidRDefault="001445DF" w:rsidP="005A1AD4">
            <w:pPr>
              <w:tabs>
                <w:tab w:val="left" w:pos="1105"/>
              </w:tabs>
              <w:rPr>
                <w:rFonts w:ascii="Arial" w:hAnsi="Arial" w:cs="Arial"/>
                <w:b/>
                <w:sz w:val="20"/>
                <w:szCs w:val="20"/>
              </w:rPr>
            </w:pPr>
            <w:r w:rsidRPr="00D62D49">
              <w:rPr>
                <w:rFonts w:ascii="Arial" w:hAnsi="Arial" w:cs="Arial"/>
                <w:b/>
                <w:sz w:val="20"/>
                <w:szCs w:val="20"/>
              </w:rPr>
              <w:t xml:space="preserve"> </w:t>
            </w:r>
            <w:r w:rsidR="005A1AD4" w:rsidRPr="00D62D49">
              <w:rPr>
                <w:rFonts w:ascii="Arial" w:hAnsi="Arial" w:cs="Arial"/>
                <w:b/>
                <w:sz w:val="20"/>
                <w:szCs w:val="20"/>
              </w:rPr>
              <w:t>1 HOUR</w:t>
            </w:r>
            <w:r w:rsidR="00320F2C" w:rsidRPr="00D62D49">
              <w:rPr>
                <w:rFonts w:ascii="Arial" w:hAnsi="Arial" w:cs="Arial"/>
                <w:b/>
                <w:sz w:val="20"/>
                <w:szCs w:val="20"/>
              </w:rPr>
              <w:t xml:space="preserve">                           </w:t>
            </w:r>
            <w:r w:rsidR="005A1AD4" w:rsidRPr="00D62D49">
              <w:rPr>
                <w:rFonts w:ascii="Arial" w:hAnsi="Arial" w:cs="Arial"/>
                <w:b/>
                <w:sz w:val="20"/>
                <w:szCs w:val="20"/>
              </w:rPr>
              <w:t xml:space="preserve">                    </w:t>
            </w:r>
            <w:r w:rsidR="00320F2C" w:rsidRPr="00D62D49">
              <w:rPr>
                <w:rFonts w:ascii="Arial" w:hAnsi="Arial" w:cs="Arial"/>
                <w:b/>
                <w:sz w:val="20"/>
                <w:szCs w:val="20"/>
              </w:rPr>
              <w:t xml:space="preserve">MARKS: </w:t>
            </w:r>
            <w:r w:rsidR="005A1AD4" w:rsidRPr="00D62D49">
              <w:rPr>
                <w:rFonts w:ascii="Arial" w:hAnsi="Arial" w:cs="Arial"/>
                <w:b/>
                <w:sz w:val="20"/>
                <w:szCs w:val="20"/>
              </w:rPr>
              <w:t>100</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1445DF" w:rsidP="001445DF">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Answer ALL questions in the ANSWER BOOK</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6030" w:type="dxa"/>
            <w:gridSpan w:val="4"/>
            <w:vMerge/>
          </w:tcPr>
          <w:p w:rsidR="00EF783B" w:rsidRDefault="00EF783B" w:rsidP="000E5259">
            <w:pPr>
              <w:tabs>
                <w:tab w:val="left" w:pos="1105"/>
              </w:tabs>
              <w:rPr>
                <w:rFonts w:ascii="Arial" w:hAnsi="Arial" w:cs="Arial"/>
                <w:sz w:val="20"/>
                <w:szCs w:val="20"/>
              </w:rPr>
            </w:pPr>
          </w:p>
        </w:tc>
      </w:tr>
    </w:tbl>
    <w:p w:rsidR="00E738ED" w:rsidRDefault="00E738ED" w:rsidP="00E738ED">
      <w:pPr>
        <w:spacing w:after="160" w:line="259" w:lineRule="auto"/>
        <w:rPr>
          <w:rFonts w:ascii="Arial" w:eastAsia="Calibri" w:hAnsi="Arial" w:cs="Arial"/>
          <w:b/>
        </w:rPr>
      </w:pPr>
    </w:p>
    <w:p w:rsidR="008334E7" w:rsidRDefault="008334E7" w:rsidP="00E738ED">
      <w:pPr>
        <w:spacing w:after="160" w:line="259" w:lineRule="auto"/>
        <w:rPr>
          <w:rFonts w:ascii="Arial" w:eastAsia="Calibri" w:hAnsi="Arial" w:cs="Arial"/>
          <w:b/>
        </w:rPr>
      </w:pPr>
    </w:p>
    <w:p w:rsidR="00CC017D" w:rsidRDefault="00916272" w:rsidP="00E738ED">
      <w:pPr>
        <w:spacing w:after="160" w:line="259" w:lineRule="auto"/>
        <w:jc w:val="center"/>
        <w:rPr>
          <w:rFonts w:ascii="Arial" w:eastAsia="Calibri" w:hAnsi="Arial" w:cs="Arial"/>
          <w:b/>
        </w:rPr>
      </w:pPr>
      <w:r w:rsidRPr="00CC01CB">
        <w:rPr>
          <w:rFonts w:ascii="Arial" w:eastAsia="Calibri" w:hAnsi="Arial" w:cs="Arial"/>
          <w:b/>
        </w:rPr>
        <w:lastRenderedPageBreak/>
        <w:t>QUESTION 1</w:t>
      </w:r>
      <w:r w:rsidR="00AF0755">
        <w:rPr>
          <w:rFonts w:ascii="Arial" w:eastAsia="Calibri" w:hAnsi="Arial" w:cs="Arial"/>
          <w:b/>
        </w:rPr>
        <w:t xml:space="preserve">: </w:t>
      </w:r>
      <w:r w:rsidR="00AF0755" w:rsidRPr="00AF0755">
        <w:rPr>
          <w:rFonts w:ascii="Arial" w:eastAsia="Calibri" w:hAnsi="Arial" w:cs="Arial"/>
          <w:b/>
        </w:rPr>
        <w:t>BUSINESS ENVIRONMENTS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0620"/>
        <w:gridCol w:w="1278"/>
      </w:tblGrid>
      <w:tr w:rsidR="00E74F1E" w:rsidRPr="00916272" w:rsidTr="00916272">
        <w:tc>
          <w:tcPr>
            <w:tcW w:w="1278" w:type="dxa"/>
          </w:tcPr>
          <w:p w:rsidR="00E74F1E" w:rsidRPr="00916272" w:rsidRDefault="00E74F1E" w:rsidP="00E74F1E">
            <w:pPr>
              <w:spacing w:after="160" w:line="259" w:lineRule="auto"/>
              <w:rPr>
                <w:rFonts w:ascii="Arial" w:eastAsia="Calibri" w:hAnsi="Arial" w:cs="Arial"/>
              </w:rPr>
            </w:pPr>
            <w:r w:rsidRPr="00916272">
              <w:rPr>
                <w:rFonts w:ascii="Arial" w:eastAsia="Calibri" w:hAnsi="Arial" w:cs="Arial"/>
              </w:rPr>
              <w:t>1.1</w:t>
            </w:r>
          </w:p>
        </w:tc>
        <w:tc>
          <w:tcPr>
            <w:tcW w:w="10620" w:type="dxa"/>
          </w:tcPr>
          <w:p w:rsidR="00E74F1E" w:rsidRPr="00077E57" w:rsidRDefault="001132F8" w:rsidP="00E74F1E">
            <w:pPr>
              <w:spacing w:after="160" w:line="259" w:lineRule="auto"/>
              <w:rPr>
                <w:rFonts w:ascii="Arial" w:eastAsia="Calibri" w:hAnsi="Arial" w:cs="Arial"/>
              </w:rPr>
            </w:pPr>
            <w:r w:rsidRPr="00077E57">
              <w:rPr>
                <w:rFonts w:ascii="Arial" w:eastAsia="Calibri" w:hAnsi="Arial" w:cs="Arial"/>
              </w:rPr>
              <w:t>Name any FOUR aspects of the PESTLE analysis model.</w:t>
            </w:r>
          </w:p>
        </w:tc>
        <w:tc>
          <w:tcPr>
            <w:tcW w:w="1278" w:type="dxa"/>
          </w:tcPr>
          <w:p w:rsidR="00E74F1E" w:rsidRPr="00916272" w:rsidRDefault="001132F8" w:rsidP="00E74F1E">
            <w:pPr>
              <w:spacing w:after="160" w:line="259" w:lineRule="auto"/>
              <w:rPr>
                <w:rFonts w:ascii="Arial" w:eastAsia="Calibri" w:hAnsi="Arial" w:cs="Arial"/>
              </w:rPr>
            </w:pPr>
            <w:r>
              <w:rPr>
                <w:rFonts w:ascii="Arial" w:eastAsia="Calibri" w:hAnsi="Arial" w:cs="Arial"/>
              </w:rPr>
              <w:t>(4</w:t>
            </w:r>
            <w:r w:rsidR="00E74F1E" w:rsidRPr="00916272">
              <w:rPr>
                <w:rFonts w:ascii="Arial" w:eastAsia="Calibri" w:hAnsi="Arial" w:cs="Arial"/>
              </w:rPr>
              <w:t>)</w:t>
            </w:r>
          </w:p>
        </w:tc>
      </w:tr>
      <w:tr w:rsidR="00E74F1E" w:rsidRPr="00916272" w:rsidTr="00916272">
        <w:tc>
          <w:tcPr>
            <w:tcW w:w="1278" w:type="dxa"/>
          </w:tcPr>
          <w:p w:rsidR="00E74F1E" w:rsidRPr="00916272" w:rsidRDefault="00E74F1E" w:rsidP="00E74F1E">
            <w:pPr>
              <w:spacing w:after="160" w:line="259" w:lineRule="auto"/>
              <w:rPr>
                <w:rFonts w:ascii="Arial" w:eastAsia="Calibri" w:hAnsi="Arial" w:cs="Arial"/>
              </w:rPr>
            </w:pPr>
            <w:r w:rsidRPr="00916272">
              <w:rPr>
                <w:rFonts w:ascii="Arial" w:eastAsia="Calibri" w:hAnsi="Arial" w:cs="Arial"/>
              </w:rPr>
              <w:t>1.2</w:t>
            </w:r>
          </w:p>
        </w:tc>
        <w:tc>
          <w:tcPr>
            <w:tcW w:w="10620" w:type="dxa"/>
          </w:tcPr>
          <w:p w:rsidR="00E74F1E" w:rsidRPr="00077E57" w:rsidRDefault="001132F8" w:rsidP="00E74F1E">
            <w:pPr>
              <w:spacing w:after="160" w:line="259" w:lineRule="auto"/>
              <w:rPr>
                <w:rFonts w:ascii="Arial" w:eastAsia="Calibri" w:hAnsi="Arial" w:cs="Arial"/>
              </w:rPr>
            </w:pPr>
            <w:r w:rsidRPr="00077E57">
              <w:rPr>
                <w:rFonts w:ascii="Arial" w:eastAsia="Calibri" w:hAnsi="Arial" w:cs="Arial"/>
              </w:rPr>
              <w:t>Describe the steps followed in evaluating a strategy</w:t>
            </w:r>
          </w:p>
        </w:tc>
        <w:tc>
          <w:tcPr>
            <w:tcW w:w="1278" w:type="dxa"/>
          </w:tcPr>
          <w:p w:rsidR="00E74F1E" w:rsidRPr="00916272" w:rsidRDefault="001132F8" w:rsidP="00E74F1E">
            <w:pPr>
              <w:spacing w:after="160" w:line="259" w:lineRule="auto"/>
              <w:rPr>
                <w:rFonts w:ascii="Arial" w:eastAsia="Calibri" w:hAnsi="Arial" w:cs="Arial"/>
              </w:rPr>
            </w:pPr>
            <w:r>
              <w:rPr>
                <w:rFonts w:ascii="Arial" w:eastAsia="Calibri" w:hAnsi="Arial" w:cs="Arial"/>
              </w:rPr>
              <w:t>(10)</w:t>
            </w:r>
          </w:p>
        </w:tc>
      </w:tr>
      <w:tr w:rsidR="00E74F1E" w:rsidRPr="00320F2C" w:rsidTr="00916272">
        <w:tc>
          <w:tcPr>
            <w:tcW w:w="1278" w:type="dxa"/>
          </w:tcPr>
          <w:p w:rsidR="00E74F1E" w:rsidRPr="00916272" w:rsidRDefault="001132F8" w:rsidP="00E74F1E">
            <w:pPr>
              <w:spacing w:after="160" w:line="259" w:lineRule="auto"/>
              <w:rPr>
                <w:rFonts w:ascii="Arial" w:eastAsia="Calibri" w:hAnsi="Arial" w:cs="Arial"/>
              </w:rPr>
            </w:pPr>
            <w:r>
              <w:rPr>
                <w:rFonts w:ascii="Arial" w:eastAsia="Calibri" w:hAnsi="Arial" w:cs="Arial"/>
              </w:rPr>
              <w:t>1.3</w:t>
            </w:r>
          </w:p>
        </w:tc>
        <w:tc>
          <w:tcPr>
            <w:tcW w:w="10620" w:type="dxa"/>
          </w:tcPr>
          <w:p w:rsidR="00E74F1E" w:rsidRPr="00077E57" w:rsidRDefault="001132F8" w:rsidP="00E74F1E">
            <w:pPr>
              <w:spacing w:after="160" w:line="259" w:lineRule="auto"/>
              <w:rPr>
                <w:rFonts w:ascii="Arial" w:eastAsia="Calibri" w:hAnsi="Arial" w:cs="Arial"/>
                <w:highlight w:val="yellow"/>
              </w:rPr>
            </w:pPr>
            <w:r w:rsidRPr="00077E57">
              <w:rPr>
                <w:rFonts w:ascii="Arial" w:eastAsia="Calibri" w:hAnsi="Arial" w:cs="Arial"/>
              </w:rPr>
              <w:t>Explain THREE types of intensive strategies.</w:t>
            </w:r>
          </w:p>
        </w:tc>
        <w:tc>
          <w:tcPr>
            <w:tcW w:w="1278" w:type="dxa"/>
          </w:tcPr>
          <w:p w:rsidR="00E74F1E" w:rsidRPr="00320F2C" w:rsidRDefault="001132F8" w:rsidP="00E74F1E">
            <w:pPr>
              <w:spacing w:after="160" w:line="259" w:lineRule="auto"/>
              <w:rPr>
                <w:rFonts w:ascii="Arial" w:eastAsia="Calibri" w:hAnsi="Arial" w:cs="Arial"/>
                <w:highlight w:val="yellow"/>
              </w:rPr>
            </w:pPr>
            <w:r w:rsidRPr="001132F8">
              <w:rPr>
                <w:rFonts w:ascii="Arial" w:eastAsia="Calibri" w:hAnsi="Arial" w:cs="Arial"/>
              </w:rPr>
              <w:t>(9)</w:t>
            </w:r>
          </w:p>
        </w:tc>
      </w:tr>
      <w:tr w:rsidR="00E74F1E" w:rsidRPr="00320F2C" w:rsidTr="00077E57">
        <w:trPr>
          <w:trHeight w:val="1872"/>
        </w:trPr>
        <w:tc>
          <w:tcPr>
            <w:tcW w:w="1278" w:type="dxa"/>
          </w:tcPr>
          <w:p w:rsidR="00E74F1E" w:rsidRPr="00916272" w:rsidRDefault="001132F8" w:rsidP="00E74F1E">
            <w:pPr>
              <w:spacing w:after="160" w:line="259" w:lineRule="auto"/>
              <w:rPr>
                <w:rFonts w:ascii="Arial" w:eastAsia="Calibri" w:hAnsi="Arial" w:cs="Arial"/>
              </w:rPr>
            </w:pPr>
            <w:r>
              <w:rPr>
                <w:rFonts w:ascii="Arial" w:eastAsia="Calibri" w:hAnsi="Arial" w:cs="Arial"/>
              </w:rPr>
              <w:t>1.4</w:t>
            </w:r>
          </w:p>
        </w:tc>
        <w:tc>
          <w:tcPr>
            <w:tcW w:w="10620" w:type="dxa"/>
          </w:tcPr>
          <w:p w:rsidR="001132F8" w:rsidRPr="00077E57" w:rsidRDefault="001132F8" w:rsidP="00E74F1E">
            <w:pPr>
              <w:spacing w:after="160" w:line="259" w:lineRule="auto"/>
              <w:rPr>
                <w:rFonts w:ascii="Arial" w:eastAsia="Calibri" w:hAnsi="Arial" w:cs="Arial"/>
              </w:rPr>
            </w:pPr>
            <w:r w:rsidRPr="00077E57">
              <w:rPr>
                <w:rFonts w:ascii="Arial" w:eastAsia="Calibri" w:hAnsi="Arial" w:cs="Arial"/>
              </w:rPr>
              <w:t>Classify each scenario according to the relevant pillar as outlined in the Broad-Based Black Economic Empowerment Act (BBBEE), 2003 (Act 53 of 2003) (amended 2013):</w:t>
            </w:r>
          </w:p>
          <w:p w:rsidR="00BE6052" w:rsidRPr="00077E57" w:rsidRDefault="00682FC1" w:rsidP="00E74F1E">
            <w:pPr>
              <w:spacing w:after="160" w:line="259" w:lineRule="auto"/>
              <w:rPr>
                <w:rFonts w:ascii="Arial" w:eastAsia="Calibri" w:hAnsi="Arial" w:cs="Arial"/>
              </w:rPr>
            </w:pPr>
            <w:r w:rsidRPr="00077E57">
              <w:rPr>
                <w:rFonts w:ascii="Arial" w:eastAsia="Calibri" w:hAnsi="Arial" w:cs="Arial"/>
              </w:rPr>
              <w:t>1.4</w:t>
            </w:r>
            <w:r w:rsidR="00BE6052" w:rsidRPr="00077E57">
              <w:rPr>
                <w:rFonts w:ascii="Arial" w:eastAsia="Calibri" w:hAnsi="Arial" w:cs="Arial"/>
              </w:rPr>
              <w:t xml:space="preserve">.1   </w:t>
            </w:r>
            <w:r w:rsidRPr="00077E57">
              <w:rPr>
                <w:rFonts w:ascii="Arial" w:eastAsia="Calibri" w:hAnsi="Arial" w:cs="Arial"/>
              </w:rPr>
              <w:t>BMK (Pty) Ltd sends employees for training sessions to upgrade their skills.</w:t>
            </w:r>
          </w:p>
          <w:p w:rsidR="00BE6052" w:rsidRPr="00077E57" w:rsidRDefault="00682FC1" w:rsidP="00E74F1E">
            <w:pPr>
              <w:spacing w:after="160" w:line="259" w:lineRule="auto"/>
              <w:rPr>
                <w:rFonts w:ascii="Arial" w:eastAsia="Calibri" w:hAnsi="Arial" w:cs="Arial"/>
              </w:rPr>
            </w:pPr>
            <w:r w:rsidRPr="00077E57">
              <w:rPr>
                <w:rFonts w:ascii="Arial" w:eastAsia="Calibri" w:hAnsi="Arial" w:cs="Arial"/>
              </w:rPr>
              <w:t>1.4</w:t>
            </w:r>
            <w:r w:rsidR="00BE6052" w:rsidRPr="00077E57">
              <w:rPr>
                <w:rFonts w:ascii="Arial" w:eastAsia="Calibri" w:hAnsi="Arial" w:cs="Arial"/>
              </w:rPr>
              <w:t xml:space="preserve">.2   </w:t>
            </w:r>
            <w:r w:rsidRPr="00077E57">
              <w:rPr>
                <w:rFonts w:ascii="Arial" w:eastAsia="Calibri" w:hAnsi="Arial" w:cs="Arial"/>
              </w:rPr>
              <w:t>An invitation to employees to buy shares in the company</w:t>
            </w:r>
          </w:p>
          <w:p w:rsidR="00BE6052" w:rsidRPr="00077E57" w:rsidRDefault="00682FC1" w:rsidP="00682FC1">
            <w:pPr>
              <w:spacing w:after="160" w:line="259" w:lineRule="auto"/>
              <w:rPr>
                <w:rFonts w:ascii="Arial" w:eastAsia="Calibri" w:hAnsi="Arial" w:cs="Arial"/>
              </w:rPr>
            </w:pPr>
            <w:r w:rsidRPr="00077E57">
              <w:rPr>
                <w:rFonts w:ascii="Arial" w:eastAsia="Calibri" w:hAnsi="Arial" w:cs="Arial"/>
              </w:rPr>
              <w:t>1.4</w:t>
            </w:r>
            <w:r w:rsidR="00BE6052" w:rsidRPr="00077E57">
              <w:rPr>
                <w:rFonts w:ascii="Arial" w:eastAsia="Calibri" w:hAnsi="Arial" w:cs="Arial"/>
              </w:rPr>
              <w:t xml:space="preserve">.3   </w:t>
            </w:r>
            <w:r w:rsidRPr="00077E57">
              <w:rPr>
                <w:rFonts w:ascii="Arial" w:eastAsia="Calibri" w:hAnsi="Arial" w:cs="Arial"/>
              </w:rPr>
              <w:t>Mr Manzi’s donation of R100 000 towards the building of a community enrichment centre</w:t>
            </w:r>
          </w:p>
        </w:tc>
        <w:tc>
          <w:tcPr>
            <w:tcW w:w="1278" w:type="dxa"/>
          </w:tcPr>
          <w:p w:rsidR="00E74F1E" w:rsidRPr="00682FC1" w:rsidRDefault="00E74F1E" w:rsidP="00E74F1E">
            <w:pPr>
              <w:spacing w:after="160" w:line="259" w:lineRule="auto"/>
              <w:rPr>
                <w:rFonts w:ascii="Arial" w:eastAsia="Calibri" w:hAnsi="Arial" w:cs="Arial"/>
              </w:rPr>
            </w:pPr>
          </w:p>
          <w:p w:rsidR="00BE6052" w:rsidRPr="00682FC1" w:rsidRDefault="00682FC1" w:rsidP="00E74F1E">
            <w:pPr>
              <w:spacing w:after="160" w:line="259" w:lineRule="auto"/>
              <w:rPr>
                <w:rFonts w:ascii="Arial" w:eastAsia="Calibri" w:hAnsi="Arial" w:cs="Arial"/>
              </w:rPr>
            </w:pPr>
            <w:r w:rsidRPr="00682FC1">
              <w:rPr>
                <w:rFonts w:ascii="Arial" w:eastAsia="Calibri" w:hAnsi="Arial" w:cs="Arial"/>
              </w:rPr>
              <w:t>(2)</w:t>
            </w:r>
          </w:p>
          <w:p w:rsidR="00BE6052" w:rsidRPr="00682FC1" w:rsidRDefault="00682FC1" w:rsidP="00E74F1E">
            <w:pPr>
              <w:spacing w:after="160" w:line="259" w:lineRule="auto"/>
              <w:rPr>
                <w:rFonts w:ascii="Arial" w:eastAsia="Calibri" w:hAnsi="Arial" w:cs="Arial"/>
              </w:rPr>
            </w:pPr>
            <w:r>
              <w:rPr>
                <w:rFonts w:ascii="Arial" w:eastAsia="Calibri" w:hAnsi="Arial" w:cs="Arial"/>
              </w:rPr>
              <w:t>(2)</w:t>
            </w:r>
          </w:p>
          <w:p w:rsidR="00BE6052" w:rsidRPr="00682FC1" w:rsidRDefault="00682FC1" w:rsidP="00E74F1E">
            <w:pPr>
              <w:spacing w:after="160" w:line="259" w:lineRule="auto"/>
              <w:rPr>
                <w:rFonts w:ascii="Arial" w:eastAsia="Calibri" w:hAnsi="Arial" w:cs="Arial"/>
              </w:rPr>
            </w:pPr>
            <w:r>
              <w:rPr>
                <w:rFonts w:ascii="Arial" w:eastAsia="Calibri" w:hAnsi="Arial" w:cs="Arial"/>
              </w:rPr>
              <w:t>(2</w:t>
            </w:r>
            <w:r w:rsidR="00BE6052" w:rsidRPr="00682FC1">
              <w:rPr>
                <w:rFonts w:ascii="Arial" w:eastAsia="Calibri" w:hAnsi="Arial" w:cs="Arial"/>
              </w:rPr>
              <w:t>)</w:t>
            </w:r>
          </w:p>
        </w:tc>
      </w:tr>
      <w:tr w:rsidR="00682FC1" w:rsidRPr="00320F2C" w:rsidTr="00916272">
        <w:tc>
          <w:tcPr>
            <w:tcW w:w="1278" w:type="dxa"/>
          </w:tcPr>
          <w:p w:rsidR="00682FC1" w:rsidRDefault="00682FC1" w:rsidP="00E74F1E">
            <w:pPr>
              <w:spacing w:after="160" w:line="259" w:lineRule="auto"/>
              <w:rPr>
                <w:rFonts w:ascii="Arial" w:eastAsia="Calibri" w:hAnsi="Arial" w:cs="Arial"/>
              </w:rPr>
            </w:pPr>
          </w:p>
        </w:tc>
        <w:tc>
          <w:tcPr>
            <w:tcW w:w="10620" w:type="dxa"/>
          </w:tcPr>
          <w:p w:rsidR="00682FC1" w:rsidRPr="00077E57" w:rsidRDefault="00682FC1" w:rsidP="00E74F1E">
            <w:pPr>
              <w:spacing w:after="160" w:line="259" w:lineRule="auto"/>
              <w:rPr>
                <w:rFonts w:ascii="Arial" w:eastAsia="Calibri" w:hAnsi="Arial" w:cs="Arial"/>
              </w:rPr>
            </w:pPr>
            <w:r w:rsidRPr="00077E57">
              <w:rPr>
                <w:rFonts w:ascii="Arial" w:eastAsia="Calibri" w:hAnsi="Arial" w:cs="Arial"/>
              </w:rPr>
              <w:t>1.4.4   JJ Enterprise promoting three black women as heads of various departments.</w:t>
            </w:r>
          </w:p>
        </w:tc>
        <w:tc>
          <w:tcPr>
            <w:tcW w:w="1278" w:type="dxa"/>
          </w:tcPr>
          <w:p w:rsidR="00682FC1" w:rsidRPr="00320F2C" w:rsidRDefault="00682FC1" w:rsidP="00E74F1E">
            <w:pPr>
              <w:spacing w:after="160" w:line="259" w:lineRule="auto"/>
              <w:rPr>
                <w:rFonts w:ascii="Arial" w:eastAsia="Calibri" w:hAnsi="Arial" w:cs="Arial"/>
                <w:highlight w:val="yellow"/>
              </w:rPr>
            </w:pPr>
            <w:r w:rsidRPr="00682FC1">
              <w:rPr>
                <w:rFonts w:ascii="Arial" w:eastAsia="Calibri" w:hAnsi="Arial" w:cs="Arial"/>
              </w:rPr>
              <w:t>(2)</w:t>
            </w:r>
          </w:p>
        </w:tc>
      </w:tr>
      <w:tr w:rsidR="00077E57" w:rsidRPr="00320F2C" w:rsidTr="00916272">
        <w:tc>
          <w:tcPr>
            <w:tcW w:w="1278" w:type="dxa"/>
          </w:tcPr>
          <w:p w:rsidR="00077E57" w:rsidRPr="00916272" w:rsidRDefault="00077E57" w:rsidP="00077E57">
            <w:pPr>
              <w:spacing w:after="160" w:line="259" w:lineRule="auto"/>
              <w:rPr>
                <w:rFonts w:ascii="Arial" w:eastAsia="Calibri" w:hAnsi="Arial" w:cs="Arial"/>
              </w:rPr>
            </w:pPr>
            <w:r>
              <w:rPr>
                <w:rFonts w:ascii="Arial" w:eastAsia="Calibri" w:hAnsi="Arial" w:cs="Arial"/>
              </w:rPr>
              <w:t>1.5</w:t>
            </w:r>
          </w:p>
        </w:tc>
        <w:tc>
          <w:tcPr>
            <w:tcW w:w="10620" w:type="dxa"/>
          </w:tcPr>
          <w:p w:rsidR="00077E57" w:rsidRPr="009C05B6" w:rsidRDefault="00EA5018" w:rsidP="00077E57">
            <w:pPr>
              <w:spacing w:after="160" w:line="259" w:lineRule="auto"/>
              <w:rPr>
                <w:rFonts w:ascii="Arial" w:eastAsia="Calibri" w:hAnsi="Arial" w:cs="Arial"/>
                <w:highlight w:val="yellow"/>
              </w:rPr>
            </w:pPr>
            <w:r w:rsidRPr="00EA5018">
              <w:rPr>
                <w:rFonts w:ascii="Arial" w:eastAsia="Calibri" w:hAnsi="Arial" w:cs="Arial"/>
              </w:rPr>
              <w:t>Discuss THREE consumer rights as identified in the Consumer Protection Act, 2008 (Act 68 of 2008).</w:t>
            </w:r>
          </w:p>
        </w:tc>
        <w:tc>
          <w:tcPr>
            <w:tcW w:w="1278" w:type="dxa"/>
          </w:tcPr>
          <w:p w:rsidR="00077E57" w:rsidRPr="00320F2C" w:rsidRDefault="00EA5018" w:rsidP="00077E57">
            <w:pPr>
              <w:spacing w:after="160" w:line="259" w:lineRule="auto"/>
              <w:rPr>
                <w:rFonts w:ascii="Arial" w:eastAsia="Calibri" w:hAnsi="Arial" w:cs="Arial"/>
                <w:highlight w:val="yellow"/>
              </w:rPr>
            </w:pPr>
            <w:r>
              <w:rPr>
                <w:rFonts w:ascii="Arial" w:eastAsia="Calibri" w:hAnsi="Arial" w:cs="Arial"/>
              </w:rPr>
              <w:t>(9</w:t>
            </w:r>
            <w:r w:rsidR="00077E57" w:rsidRPr="005A1AD4">
              <w:rPr>
                <w:rFonts w:ascii="Arial" w:eastAsia="Calibri" w:hAnsi="Arial" w:cs="Arial"/>
              </w:rPr>
              <w:t>)</w:t>
            </w:r>
          </w:p>
        </w:tc>
      </w:tr>
      <w:tr w:rsidR="00077E57" w:rsidRPr="00320F2C" w:rsidTr="00916272">
        <w:tc>
          <w:tcPr>
            <w:tcW w:w="1278" w:type="dxa"/>
          </w:tcPr>
          <w:p w:rsidR="00077E57" w:rsidRPr="00916272" w:rsidRDefault="00077E57" w:rsidP="00077E57">
            <w:pPr>
              <w:spacing w:after="160" w:line="259" w:lineRule="auto"/>
              <w:rPr>
                <w:rFonts w:ascii="Arial" w:eastAsia="Calibri" w:hAnsi="Arial" w:cs="Arial"/>
              </w:rPr>
            </w:pPr>
            <w:r>
              <w:rPr>
                <w:rFonts w:ascii="Arial" w:eastAsia="Calibri" w:hAnsi="Arial" w:cs="Arial"/>
              </w:rPr>
              <w:t>1.6</w:t>
            </w:r>
          </w:p>
        </w:tc>
        <w:tc>
          <w:tcPr>
            <w:tcW w:w="10620" w:type="dxa"/>
          </w:tcPr>
          <w:p w:rsidR="00077E57" w:rsidRPr="00904F21" w:rsidRDefault="00077E57" w:rsidP="00077E57">
            <w:pPr>
              <w:spacing w:after="160" w:line="259" w:lineRule="auto"/>
              <w:rPr>
                <w:rFonts w:ascii="Arial" w:eastAsia="Calibri" w:hAnsi="Arial" w:cs="Arial"/>
              </w:rPr>
            </w:pPr>
            <w:r w:rsidRPr="00904F21">
              <w:rPr>
                <w:rFonts w:ascii="Arial" w:eastAsia="Calibri" w:hAnsi="Arial" w:cs="Arial"/>
              </w:rPr>
              <w:t>Read the scenario below and answer the questions that follow.</w:t>
            </w:r>
          </w:p>
          <w:tbl>
            <w:tblPr>
              <w:tblStyle w:val="TableGrid"/>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77E57" w:rsidRPr="00904F21" w:rsidTr="00916272">
              <w:tc>
                <w:tcPr>
                  <w:tcW w:w="9270" w:type="dxa"/>
                </w:tcPr>
                <w:p w:rsidR="00077E57" w:rsidRPr="00904F21" w:rsidRDefault="00077E57" w:rsidP="00077E57">
                  <w:pPr>
                    <w:spacing w:after="160" w:line="259" w:lineRule="auto"/>
                    <w:jc w:val="center"/>
                    <w:rPr>
                      <w:rFonts w:ascii="Arial" w:eastAsia="Calibri" w:hAnsi="Arial" w:cs="Arial"/>
                      <w:b/>
                    </w:rPr>
                  </w:pPr>
                  <w:r w:rsidRPr="00904F21">
                    <w:rPr>
                      <w:rFonts w:ascii="Arial" w:eastAsia="Calibri" w:hAnsi="Arial" w:cs="Arial"/>
                      <w:b/>
                    </w:rPr>
                    <w:t>ALLOY WHEELS (PTY) LTD (AW)</w:t>
                  </w:r>
                </w:p>
                <w:p w:rsidR="00077E57" w:rsidRPr="00904F21" w:rsidRDefault="00077E57" w:rsidP="00077E57">
                  <w:pPr>
                    <w:spacing w:after="160" w:line="259" w:lineRule="auto"/>
                    <w:rPr>
                      <w:rFonts w:ascii="Arial" w:eastAsia="Calibri" w:hAnsi="Arial" w:cs="Arial"/>
                    </w:rPr>
                  </w:pPr>
                  <w:r w:rsidRPr="00904F21">
                    <w:rPr>
                      <w:rFonts w:ascii="Arial" w:eastAsia="Calibri" w:hAnsi="Arial" w:cs="Arial"/>
                    </w:rPr>
                    <w:t>Marvella is a machine operator employed by Alloy Wheel (Pty) Ltd, a company that manufactures alloy wheels in Durban.  He was seriously injured while performing his duties and was rushed to hospital without reporting the accident. The management investigated the nature of the accident and found that Marvella had not been wearing his protective clothing despite having been advised to do so regularly.</w:t>
                  </w:r>
                </w:p>
              </w:tc>
            </w:tr>
          </w:tbl>
          <w:p w:rsidR="00077E57" w:rsidRPr="00904F21" w:rsidRDefault="00077E57" w:rsidP="00077E57">
            <w:pPr>
              <w:spacing w:after="160" w:line="259" w:lineRule="auto"/>
              <w:rPr>
                <w:rFonts w:ascii="Arial" w:eastAsia="Calibri" w:hAnsi="Arial" w:cs="Arial"/>
              </w:rPr>
            </w:pPr>
          </w:p>
          <w:p w:rsidR="00077E57" w:rsidRDefault="00077E57" w:rsidP="00077E57">
            <w:pPr>
              <w:spacing w:after="160" w:line="259" w:lineRule="auto"/>
              <w:rPr>
                <w:rFonts w:ascii="Arial" w:eastAsia="Calibri" w:hAnsi="Arial" w:cs="Arial"/>
              </w:rPr>
            </w:pPr>
            <w:r w:rsidRPr="00904F21">
              <w:rPr>
                <w:rFonts w:ascii="Arial" w:eastAsia="Calibri" w:hAnsi="Arial" w:cs="Arial"/>
              </w:rPr>
              <w:t>1.6.1  Name the Act that is applicable to Marvella’s accident at work.</w:t>
            </w:r>
          </w:p>
          <w:p w:rsidR="00077E57" w:rsidRPr="00904F21" w:rsidRDefault="00077E57" w:rsidP="00077E57">
            <w:pPr>
              <w:spacing w:after="160" w:line="259" w:lineRule="auto"/>
              <w:rPr>
                <w:rFonts w:ascii="Arial" w:eastAsia="Calibri" w:hAnsi="Arial" w:cs="Arial"/>
              </w:rPr>
            </w:pPr>
            <w:r w:rsidRPr="00904F21">
              <w:rPr>
                <w:rFonts w:ascii="Arial" w:eastAsia="Calibri" w:hAnsi="Arial" w:cs="Arial"/>
              </w:rPr>
              <w:t>1.6.2  Quote TWO reasons from the scenario why Marvella’s claim for injuries is not justifiable.</w:t>
            </w:r>
          </w:p>
        </w:tc>
        <w:tc>
          <w:tcPr>
            <w:tcW w:w="1278" w:type="dxa"/>
          </w:tcPr>
          <w:p w:rsidR="00077E57" w:rsidRPr="00904F21" w:rsidRDefault="00077E57" w:rsidP="00077E57">
            <w:pPr>
              <w:spacing w:after="160" w:line="259" w:lineRule="auto"/>
              <w:rPr>
                <w:rFonts w:ascii="Arial" w:eastAsia="Calibri" w:hAnsi="Arial" w:cs="Arial"/>
              </w:rPr>
            </w:pPr>
          </w:p>
          <w:p w:rsidR="00077E57" w:rsidRPr="00904F21" w:rsidRDefault="00077E57" w:rsidP="00077E57">
            <w:pPr>
              <w:spacing w:after="160" w:line="259" w:lineRule="auto"/>
              <w:rPr>
                <w:rFonts w:ascii="Arial" w:eastAsia="Calibri" w:hAnsi="Arial" w:cs="Arial"/>
              </w:rPr>
            </w:pPr>
          </w:p>
          <w:p w:rsidR="00077E57" w:rsidRPr="00904F21" w:rsidRDefault="00077E57" w:rsidP="00077E57">
            <w:pPr>
              <w:spacing w:after="160" w:line="259" w:lineRule="auto"/>
              <w:rPr>
                <w:rFonts w:ascii="Arial" w:eastAsia="Calibri" w:hAnsi="Arial" w:cs="Arial"/>
              </w:rPr>
            </w:pPr>
          </w:p>
          <w:p w:rsidR="00077E57" w:rsidRPr="00904F21" w:rsidRDefault="00077E57" w:rsidP="00077E57">
            <w:pPr>
              <w:spacing w:after="160" w:line="259" w:lineRule="auto"/>
              <w:rPr>
                <w:rFonts w:ascii="Arial" w:eastAsia="Calibri" w:hAnsi="Arial" w:cs="Arial"/>
              </w:rPr>
            </w:pPr>
          </w:p>
          <w:p w:rsidR="00077E57" w:rsidRPr="00904F21" w:rsidRDefault="00077E57" w:rsidP="00077E57">
            <w:pPr>
              <w:spacing w:after="160" w:line="259" w:lineRule="auto"/>
              <w:rPr>
                <w:rFonts w:ascii="Arial" w:eastAsia="Calibri" w:hAnsi="Arial" w:cs="Arial"/>
              </w:rPr>
            </w:pPr>
          </w:p>
          <w:p w:rsidR="00077E57" w:rsidRPr="00904F21" w:rsidRDefault="00077E57" w:rsidP="00077E57">
            <w:pPr>
              <w:spacing w:after="160" w:line="259" w:lineRule="auto"/>
              <w:rPr>
                <w:rFonts w:ascii="Arial" w:eastAsia="Calibri" w:hAnsi="Arial" w:cs="Arial"/>
              </w:rPr>
            </w:pPr>
          </w:p>
          <w:p w:rsidR="00077E57" w:rsidRPr="00904F21" w:rsidRDefault="00077E57" w:rsidP="00077E57">
            <w:pPr>
              <w:spacing w:after="160" w:line="259" w:lineRule="auto"/>
              <w:rPr>
                <w:rFonts w:ascii="Arial" w:eastAsia="Calibri" w:hAnsi="Arial" w:cs="Arial"/>
              </w:rPr>
            </w:pPr>
          </w:p>
          <w:p w:rsidR="00077E57" w:rsidRPr="00904F21" w:rsidRDefault="00077E57" w:rsidP="00077E57">
            <w:pPr>
              <w:spacing w:after="160" w:line="259" w:lineRule="auto"/>
              <w:rPr>
                <w:rFonts w:ascii="Arial" w:eastAsia="Calibri" w:hAnsi="Arial" w:cs="Arial"/>
              </w:rPr>
            </w:pPr>
            <w:r>
              <w:rPr>
                <w:rFonts w:ascii="Arial" w:eastAsia="Calibri" w:hAnsi="Arial" w:cs="Arial"/>
              </w:rPr>
              <w:t>(2)</w:t>
            </w:r>
          </w:p>
          <w:p w:rsidR="00077E57" w:rsidRPr="00904F21" w:rsidRDefault="00077E57" w:rsidP="00077E57">
            <w:pPr>
              <w:spacing w:after="160" w:line="259" w:lineRule="auto"/>
              <w:rPr>
                <w:rFonts w:ascii="Arial" w:eastAsia="Calibri" w:hAnsi="Arial" w:cs="Arial"/>
              </w:rPr>
            </w:pPr>
            <w:r>
              <w:rPr>
                <w:rFonts w:ascii="Arial" w:eastAsia="Calibri" w:hAnsi="Arial" w:cs="Arial"/>
              </w:rPr>
              <w:t>(2</w:t>
            </w:r>
            <w:r w:rsidRPr="00904F21">
              <w:rPr>
                <w:rFonts w:ascii="Arial" w:eastAsia="Calibri" w:hAnsi="Arial" w:cs="Arial"/>
              </w:rPr>
              <w:t>)</w:t>
            </w:r>
          </w:p>
        </w:tc>
      </w:tr>
      <w:tr w:rsidR="00077E57" w:rsidRPr="00320F2C" w:rsidTr="00916272">
        <w:tc>
          <w:tcPr>
            <w:tcW w:w="1278" w:type="dxa"/>
          </w:tcPr>
          <w:p w:rsidR="00077E57" w:rsidRDefault="00077E57" w:rsidP="00077E57">
            <w:pPr>
              <w:spacing w:after="160" w:line="259" w:lineRule="auto"/>
              <w:rPr>
                <w:rFonts w:ascii="Arial" w:eastAsia="Calibri" w:hAnsi="Arial" w:cs="Arial"/>
              </w:rPr>
            </w:pPr>
          </w:p>
        </w:tc>
        <w:tc>
          <w:tcPr>
            <w:tcW w:w="10620" w:type="dxa"/>
          </w:tcPr>
          <w:p w:rsidR="00077E57" w:rsidRDefault="00077E57" w:rsidP="00077E57">
            <w:pPr>
              <w:spacing w:after="160" w:line="259" w:lineRule="auto"/>
              <w:rPr>
                <w:rFonts w:ascii="Arial" w:eastAsia="Calibri" w:hAnsi="Arial" w:cs="Arial"/>
              </w:rPr>
            </w:pPr>
            <w:r>
              <w:rPr>
                <w:rFonts w:ascii="Arial" w:eastAsia="Calibri" w:hAnsi="Arial" w:cs="Arial"/>
              </w:rPr>
              <w:t xml:space="preserve">1.6.3 </w:t>
            </w:r>
            <w:r w:rsidRPr="00904F21">
              <w:rPr>
                <w:rFonts w:ascii="Arial" w:eastAsia="Calibri" w:hAnsi="Arial" w:cs="Arial"/>
              </w:rPr>
              <w:t>Discuss the impact of t</w:t>
            </w:r>
            <w:r w:rsidR="00EA5018">
              <w:rPr>
                <w:rFonts w:ascii="Arial" w:eastAsia="Calibri" w:hAnsi="Arial" w:cs="Arial"/>
              </w:rPr>
              <w:t>he Act referred to in QUESTION 1</w:t>
            </w:r>
            <w:r w:rsidRPr="00904F21">
              <w:rPr>
                <w:rFonts w:ascii="Arial" w:eastAsia="Calibri" w:hAnsi="Arial" w:cs="Arial"/>
              </w:rPr>
              <w:t>.6.1 on businesses (employers and</w:t>
            </w:r>
          </w:p>
          <w:p w:rsidR="00077E57" w:rsidRPr="00682FC1" w:rsidRDefault="00077E57" w:rsidP="00077E57">
            <w:pPr>
              <w:spacing w:after="160" w:line="259" w:lineRule="auto"/>
              <w:rPr>
                <w:rFonts w:ascii="Arial" w:eastAsia="Calibri" w:hAnsi="Arial" w:cs="Arial"/>
              </w:rPr>
            </w:pPr>
            <w:r>
              <w:rPr>
                <w:rFonts w:ascii="Arial" w:eastAsia="Calibri" w:hAnsi="Arial" w:cs="Arial"/>
              </w:rPr>
              <w:lastRenderedPageBreak/>
              <w:t xml:space="preserve">        </w:t>
            </w:r>
            <w:r w:rsidRPr="00904F21">
              <w:rPr>
                <w:rFonts w:ascii="Arial" w:eastAsia="Calibri" w:hAnsi="Arial" w:cs="Arial"/>
              </w:rPr>
              <w:t xml:space="preserve"> employees).</w:t>
            </w:r>
          </w:p>
        </w:tc>
        <w:tc>
          <w:tcPr>
            <w:tcW w:w="1278" w:type="dxa"/>
          </w:tcPr>
          <w:p w:rsidR="00077E57" w:rsidRPr="00320F2C" w:rsidRDefault="00077E57" w:rsidP="00077E57">
            <w:pPr>
              <w:spacing w:after="160" w:line="259" w:lineRule="auto"/>
              <w:rPr>
                <w:rFonts w:ascii="Arial" w:eastAsia="Calibri" w:hAnsi="Arial" w:cs="Arial"/>
                <w:highlight w:val="yellow"/>
              </w:rPr>
            </w:pPr>
            <w:r w:rsidRPr="005A1AD4">
              <w:rPr>
                <w:rFonts w:ascii="Arial" w:eastAsia="Calibri" w:hAnsi="Arial" w:cs="Arial"/>
              </w:rPr>
              <w:lastRenderedPageBreak/>
              <w:t>(8)</w:t>
            </w:r>
          </w:p>
        </w:tc>
      </w:tr>
      <w:tr w:rsidR="00077E57" w:rsidRPr="00320F2C" w:rsidTr="00916272">
        <w:tc>
          <w:tcPr>
            <w:tcW w:w="1278" w:type="dxa"/>
          </w:tcPr>
          <w:p w:rsidR="00077E57" w:rsidRPr="00916272" w:rsidRDefault="00077E57" w:rsidP="00077E57">
            <w:pPr>
              <w:spacing w:after="160" w:line="259" w:lineRule="auto"/>
              <w:rPr>
                <w:rFonts w:ascii="Arial" w:eastAsia="Calibri" w:hAnsi="Arial" w:cs="Arial"/>
              </w:rPr>
            </w:pPr>
            <w:r>
              <w:rPr>
                <w:rFonts w:ascii="Arial" w:eastAsia="Calibri" w:hAnsi="Arial" w:cs="Arial"/>
              </w:rPr>
              <w:lastRenderedPageBreak/>
              <w:t>1.7</w:t>
            </w:r>
          </w:p>
        </w:tc>
        <w:tc>
          <w:tcPr>
            <w:tcW w:w="10620" w:type="dxa"/>
          </w:tcPr>
          <w:p w:rsidR="00077E57" w:rsidRPr="00320F2C" w:rsidRDefault="00077E57" w:rsidP="00077E57">
            <w:pPr>
              <w:spacing w:after="160" w:line="259" w:lineRule="auto"/>
              <w:rPr>
                <w:rFonts w:ascii="Arial" w:eastAsia="Calibri" w:hAnsi="Arial" w:cs="Arial"/>
                <w:highlight w:val="yellow"/>
              </w:rPr>
            </w:pPr>
            <w:r>
              <w:rPr>
                <w:rFonts w:ascii="Arial" w:eastAsia="Calibri" w:hAnsi="Arial" w:cs="Arial"/>
              </w:rPr>
              <w:t xml:space="preserve">  </w:t>
            </w:r>
            <w:r w:rsidRPr="004B7287">
              <w:rPr>
                <w:rFonts w:ascii="Arial" w:eastAsia="Calibri" w:hAnsi="Arial" w:cs="Arial"/>
              </w:rPr>
              <w:t>Justify the effectiveness of the Employment Equity Act, 1998 (Act 55 of 1998) on businesses.</w:t>
            </w:r>
            <w:r>
              <w:rPr>
                <w:rFonts w:ascii="Arial" w:eastAsia="Calibri" w:hAnsi="Arial" w:cs="Arial"/>
              </w:rPr>
              <w:t xml:space="preserve">                                                                                                                                                      </w:t>
            </w:r>
          </w:p>
        </w:tc>
        <w:tc>
          <w:tcPr>
            <w:tcW w:w="1278" w:type="dxa"/>
          </w:tcPr>
          <w:p w:rsidR="00077E57" w:rsidRPr="00320F2C" w:rsidRDefault="00077E57" w:rsidP="00077E57">
            <w:pPr>
              <w:spacing w:after="160" w:line="259" w:lineRule="auto"/>
              <w:rPr>
                <w:rFonts w:ascii="Arial" w:eastAsia="Calibri" w:hAnsi="Arial" w:cs="Arial"/>
                <w:highlight w:val="yellow"/>
              </w:rPr>
            </w:pPr>
            <w:r w:rsidRPr="004B7287">
              <w:rPr>
                <w:rFonts w:ascii="Arial" w:eastAsia="Calibri" w:hAnsi="Arial" w:cs="Arial"/>
              </w:rPr>
              <w:t>(8)</w:t>
            </w:r>
          </w:p>
        </w:tc>
      </w:tr>
      <w:tr w:rsidR="00077E57" w:rsidRPr="00916272" w:rsidTr="00916272">
        <w:tc>
          <w:tcPr>
            <w:tcW w:w="1278" w:type="dxa"/>
          </w:tcPr>
          <w:p w:rsidR="00077E57" w:rsidRPr="00916272" w:rsidRDefault="00077E57" w:rsidP="00077E57">
            <w:pPr>
              <w:spacing w:after="160" w:line="259" w:lineRule="auto"/>
              <w:rPr>
                <w:rFonts w:ascii="Arial" w:eastAsia="Calibri" w:hAnsi="Arial" w:cs="Arial"/>
                <w:b/>
              </w:rPr>
            </w:pPr>
          </w:p>
        </w:tc>
        <w:tc>
          <w:tcPr>
            <w:tcW w:w="10620" w:type="dxa"/>
          </w:tcPr>
          <w:p w:rsidR="00077E57" w:rsidRPr="00916272" w:rsidRDefault="00077E57" w:rsidP="00077E57">
            <w:pPr>
              <w:spacing w:after="160" w:line="259" w:lineRule="auto"/>
              <w:jc w:val="center"/>
              <w:rPr>
                <w:rFonts w:ascii="Arial" w:eastAsia="Calibri" w:hAnsi="Arial" w:cs="Arial"/>
                <w:b/>
              </w:rPr>
            </w:pPr>
          </w:p>
        </w:tc>
        <w:tc>
          <w:tcPr>
            <w:tcW w:w="1278" w:type="dxa"/>
          </w:tcPr>
          <w:p w:rsidR="00077E57" w:rsidRPr="00916272" w:rsidRDefault="00077E57" w:rsidP="00077E57">
            <w:pPr>
              <w:spacing w:after="160" w:line="259" w:lineRule="auto"/>
              <w:rPr>
                <w:rFonts w:ascii="Arial" w:eastAsia="Calibri" w:hAnsi="Arial" w:cs="Arial"/>
                <w:b/>
              </w:rPr>
            </w:pPr>
            <w:r w:rsidRPr="00916272">
              <w:rPr>
                <w:rFonts w:ascii="Arial" w:eastAsia="Calibri" w:hAnsi="Arial" w:cs="Arial"/>
                <w:b/>
              </w:rPr>
              <w:t>[60</w:t>
            </w:r>
            <w:r>
              <w:rPr>
                <w:rFonts w:ascii="Arial" w:eastAsia="Calibri" w:hAnsi="Arial" w:cs="Arial"/>
                <w:b/>
              </w:rPr>
              <w:t>]</w:t>
            </w:r>
          </w:p>
        </w:tc>
      </w:tr>
    </w:tbl>
    <w:p w:rsidR="00E74F1E" w:rsidRDefault="004B7287" w:rsidP="004B7287">
      <w:pPr>
        <w:spacing w:after="160" w:line="259" w:lineRule="auto"/>
        <w:rPr>
          <w:rFonts w:ascii="Arial" w:eastAsia="Calibri" w:hAnsi="Arial" w:cs="Arial"/>
          <w:b/>
        </w:rPr>
      </w:pPr>
      <w:r>
        <w:rPr>
          <w:rFonts w:ascii="Arial" w:eastAsia="Calibri" w:hAnsi="Arial" w:cs="Arial"/>
          <w:b/>
        </w:rPr>
        <w:t xml:space="preserve">                                                                                                                                                                 </w:t>
      </w:r>
      <w:r w:rsidRPr="004B7287">
        <w:rPr>
          <w:rFonts w:ascii="Arial" w:eastAsia="Calibri" w:hAnsi="Arial" w:cs="Arial"/>
          <w:b/>
        </w:rPr>
        <w:t xml:space="preserve"> (EC/JUNE 2018)</w:t>
      </w:r>
    </w:p>
    <w:p w:rsidR="004B7287" w:rsidRDefault="004B7287" w:rsidP="004B7287">
      <w:pPr>
        <w:spacing w:after="160" w:line="259" w:lineRule="auto"/>
        <w:rPr>
          <w:rFonts w:ascii="Arial" w:eastAsia="Calibri" w:hAnsi="Arial" w:cs="Arial"/>
          <w:b/>
        </w:rPr>
      </w:pPr>
    </w:p>
    <w:p w:rsidR="004B7287" w:rsidRDefault="004B7287" w:rsidP="004B7287">
      <w:pPr>
        <w:spacing w:after="160" w:line="259" w:lineRule="auto"/>
        <w:rPr>
          <w:rFonts w:ascii="Arial" w:eastAsia="Calibri" w:hAnsi="Arial" w:cs="Arial"/>
          <w:b/>
        </w:rPr>
      </w:pPr>
      <w:r>
        <w:rPr>
          <w:rFonts w:ascii="Arial" w:eastAsia="Calibri" w:hAnsi="Arial" w:cs="Arial"/>
          <w:b/>
        </w:rPr>
        <w:t xml:space="preserve">QUESTION 2: </w:t>
      </w:r>
      <w:r w:rsidRPr="004B7287">
        <w:rPr>
          <w:rFonts w:ascii="Arial" w:eastAsia="Calibri" w:hAnsi="Arial" w:cs="Arial"/>
          <w:b/>
        </w:rPr>
        <w:t>BUSINESS ENVIRONMENT (LEGISLATION)</w:t>
      </w:r>
    </w:p>
    <w:tbl>
      <w:tblPr>
        <w:tblStyle w:val="TableGrid"/>
        <w:tblW w:w="0" w:type="auto"/>
        <w:tblInd w:w="5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70"/>
      </w:tblGrid>
      <w:tr w:rsidR="004B7287" w:rsidRPr="00904F21" w:rsidTr="003D78F8">
        <w:tc>
          <w:tcPr>
            <w:tcW w:w="9270" w:type="dxa"/>
          </w:tcPr>
          <w:p w:rsidR="004B7287" w:rsidRPr="00904F21" w:rsidRDefault="004B7287" w:rsidP="004324D0">
            <w:pPr>
              <w:spacing w:after="160" w:line="259" w:lineRule="auto"/>
              <w:rPr>
                <w:rFonts w:ascii="Arial" w:eastAsia="Calibri" w:hAnsi="Arial" w:cs="Arial"/>
              </w:rPr>
            </w:pPr>
            <w:r w:rsidRPr="004B7287">
              <w:rPr>
                <w:rFonts w:ascii="Arial" w:eastAsia="Calibri" w:hAnsi="Arial" w:cs="Arial"/>
              </w:rPr>
              <w:t>The Basic Conditions of Employment Act (BCEA), 1997 (Act 75 of 1997) was established to enforce the basic conditions of employment in the workplace. Businesses who do not comply with this Act will be penalised.</w:t>
            </w:r>
          </w:p>
        </w:tc>
      </w:tr>
    </w:tbl>
    <w:p w:rsidR="004B7287" w:rsidRDefault="004B7287" w:rsidP="004B7287">
      <w:pPr>
        <w:spacing w:after="160" w:line="259" w:lineRule="auto"/>
        <w:rPr>
          <w:rFonts w:ascii="Arial" w:eastAsia="Calibri" w:hAnsi="Arial" w:cs="Arial"/>
          <w:b/>
        </w:rPr>
      </w:pPr>
    </w:p>
    <w:p w:rsidR="004B7287" w:rsidRDefault="004B7287" w:rsidP="004B7287">
      <w:pPr>
        <w:spacing w:after="160" w:line="259" w:lineRule="auto"/>
        <w:rPr>
          <w:rFonts w:ascii="Arial" w:eastAsia="Calibri" w:hAnsi="Arial" w:cs="Arial"/>
        </w:rPr>
      </w:pPr>
      <w:r w:rsidRPr="004B7287">
        <w:rPr>
          <w:rFonts w:ascii="Arial" w:eastAsia="Calibri" w:hAnsi="Arial" w:cs="Arial"/>
        </w:rPr>
        <w:t>As a business consultant, provide a detailed report on the following aspects of the Basic Condition of Employment Act:</w:t>
      </w:r>
    </w:p>
    <w:p w:rsidR="004B7287" w:rsidRDefault="004B7287" w:rsidP="004B7287">
      <w:pPr>
        <w:pStyle w:val="ListParagraph"/>
        <w:numPr>
          <w:ilvl w:val="0"/>
          <w:numId w:val="16"/>
        </w:numPr>
        <w:spacing w:after="160" w:line="259" w:lineRule="auto"/>
        <w:rPr>
          <w:rFonts w:ascii="Arial" w:eastAsia="Calibri" w:hAnsi="Arial" w:cs="Arial"/>
        </w:rPr>
      </w:pPr>
      <w:r w:rsidRPr="004B7287">
        <w:rPr>
          <w:rFonts w:ascii="Arial" w:eastAsia="Calibri" w:hAnsi="Arial" w:cs="Arial"/>
        </w:rPr>
        <w:t>Expl</w:t>
      </w:r>
      <w:r>
        <w:rPr>
          <w:rFonts w:ascii="Arial" w:eastAsia="Calibri" w:hAnsi="Arial" w:cs="Arial"/>
        </w:rPr>
        <w:t xml:space="preserve">ain the purpose of the BCEA.  </w:t>
      </w:r>
    </w:p>
    <w:p w:rsidR="004B7287" w:rsidRDefault="004B7287" w:rsidP="004B7287">
      <w:pPr>
        <w:pStyle w:val="ListParagraph"/>
        <w:numPr>
          <w:ilvl w:val="0"/>
          <w:numId w:val="16"/>
        </w:numPr>
        <w:spacing w:after="160" w:line="259" w:lineRule="auto"/>
        <w:rPr>
          <w:rFonts w:ascii="Arial" w:eastAsia="Calibri" w:hAnsi="Arial" w:cs="Arial"/>
        </w:rPr>
      </w:pPr>
      <w:r w:rsidRPr="004B7287">
        <w:rPr>
          <w:rFonts w:ascii="Arial" w:eastAsia="Calibri" w:hAnsi="Arial" w:cs="Arial"/>
        </w:rPr>
        <w:t xml:space="preserve">Discuss </w:t>
      </w:r>
      <w:r>
        <w:rPr>
          <w:rFonts w:ascii="Arial" w:eastAsia="Calibri" w:hAnsi="Arial" w:cs="Arial"/>
        </w:rPr>
        <w:t xml:space="preserve">FOUR provisions of this Act.  </w:t>
      </w:r>
    </w:p>
    <w:p w:rsidR="004B7287" w:rsidRDefault="004B7287" w:rsidP="004B7287">
      <w:pPr>
        <w:pStyle w:val="ListParagraph"/>
        <w:numPr>
          <w:ilvl w:val="0"/>
          <w:numId w:val="16"/>
        </w:numPr>
        <w:spacing w:after="160" w:line="259" w:lineRule="auto"/>
        <w:rPr>
          <w:rFonts w:ascii="Arial" w:eastAsia="Calibri" w:hAnsi="Arial" w:cs="Arial"/>
        </w:rPr>
      </w:pPr>
      <w:r w:rsidRPr="004B7287">
        <w:rPr>
          <w:rFonts w:ascii="Arial" w:eastAsia="Calibri" w:hAnsi="Arial" w:cs="Arial"/>
        </w:rPr>
        <w:t>Outline the penalties businesses may face for</w:t>
      </w:r>
      <w:r>
        <w:rPr>
          <w:rFonts w:ascii="Arial" w:eastAsia="Calibri" w:hAnsi="Arial" w:cs="Arial"/>
        </w:rPr>
        <w:t xml:space="preserve"> non-compliance to this Act.  </w:t>
      </w:r>
    </w:p>
    <w:p w:rsidR="004B7287" w:rsidRDefault="004B7287" w:rsidP="004B7287">
      <w:pPr>
        <w:pStyle w:val="ListParagraph"/>
        <w:numPr>
          <w:ilvl w:val="0"/>
          <w:numId w:val="16"/>
        </w:numPr>
        <w:spacing w:after="160" w:line="259" w:lineRule="auto"/>
        <w:rPr>
          <w:rFonts w:ascii="Arial" w:eastAsia="Calibri" w:hAnsi="Arial" w:cs="Arial"/>
        </w:rPr>
      </w:pPr>
      <w:r w:rsidRPr="004B7287">
        <w:rPr>
          <w:rFonts w:ascii="Arial" w:eastAsia="Calibri" w:hAnsi="Arial" w:cs="Arial"/>
        </w:rPr>
        <w:t>Evaluate the positive impact of the BCEA on businesses</w:t>
      </w:r>
      <w:r>
        <w:rPr>
          <w:rFonts w:ascii="Arial" w:eastAsia="Calibri" w:hAnsi="Arial" w:cs="Arial"/>
        </w:rPr>
        <w:t xml:space="preserve">                                                                 </w:t>
      </w:r>
      <w:r w:rsidR="005A1AD4">
        <w:rPr>
          <w:rFonts w:ascii="Arial" w:eastAsia="Calibri" w:hAnsi="Arial" w:cs="Arial"/>
        </w:rPr>
        <w:t xml:space="preserve">                             </w:t>
      </w:r>
      <w:r>
        <w:rPr>
          <w:rFonts w:ascii="Arial" w:eastAsia="Calibri" w:hAnsi="Arial" w:cs="Arial"/>
        </w:rPr>
        <w:t xml:space="preserve"> </w:t>
      </w:r>
      <w:r w:rsidRPr="005A1AD4">
        <w:rPr>
          <w:rFonts w:ascii="Arial" w:eastAsia="Calibri" w:hAnsi="Arial" w:cs="Arial"/>
          <w:b/>
        </w:rPr>
        <w:t>[40]</w:t>
      </w:r>
    </w:p>
    <w:p w:rsidR="003D78F8" w:rsidRDefault="003D78F8" w:rsidP="003D78F8">
      <w:pPr>
        <w:pStyle w:val="ListParagraph"/>
        <w:spacing w:after="160" w:line="259" w:lineRule="auto"/>
        <w:rPr>
          <w:rFonts w:ascii="Arial" w:eastAsia="Calibri" w:hAnsi="Arial" w:cs="Arial"/>
        </w:rPr>
      </w:pPr>
      <w:r>
        <w:rPr>
          <w:rFonts w:ascii="Arial" w:eastAsia="Calibri" w:hAnsi="Arial" w:cs="Arial"/>
          <w:b/>
        </w:rPr>
        <w:t xml:space="preserve">                                                                                                                              </w:t>
      </w:r>
      <w:r w:rsidR="00EA5018">
        <w:rPr>
          <w:rFonts w:ascii="Arial" w:eastAsia="Calibri" w:hAnsi="Arial" w:cs="Arial"/>
          <w:b/>
        </w:rPr>
        <w:t xml:space="preserve">                          </w:t>
      </w:r>
      <w:r>
        <w:rPr>
          <w:rFonts w:ascii="Arial" w:eastAsia="Calibri" w:hAnsi="Arial" w:cs="Arial"/>
          <w:b/>
        </w:rPr>
        <w:t>(</w:t>
      </w:r>
      <w:r w:rsidRPr="004B7287">
        <w:rPr>
          <w:rFonts w:ascii="Arial" w:eastAsia="Calibri" w:hAnsi="Arial" w:cs="Arial"/>
          <w:b/>
        </w:rPr>
        <w:t>EC/JUNE 2018)</w:t>
      </w:r>
    </w:p>
    <w:p w:rsidR="003D78F8" w:rsidRPr="003D78F8" w:rsidRDefault="003D78F8" w:rsidP="003D78F8">
      <w:pPr>
        <w:spacing w:after="160" w:line="259" w:lineRule="auto"/>
        <w:jc w:val="center"/>
        <w:rPr>
          <w:rFonts w:ascii="Arial" w:eastAsia="Calibri" w:hAnsi="Arial" w:cs="Arial"/>
          <w:b/>
        </w:rPr>
      </w:pPr>
      <w:r w:rsidRPr="003D78F8">
        <w:rPr>
          <w:rFonts w:ascii="Arial" w:eastAsia="Calibri" w:hAnsi="Arial" w:cs="Arial"/>
          <w:b/>
        </w:rPr>
        <w:t>TOTAL MARKS: 100</w:t>
      </w:r>
    </w:p>
    <w:sectPr w:rsidR="003D78F8" w:rsidRPr="003D78F8"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D6" w:rsidRDefault="009F43D6" w:rsidP="001630F6">
      <w:pPr>
        <w:spacing w:after="0" w:line="240" w:lineRule="auto"/>
      </w:pPr>
      <w:r>
        <w:separator/>
      </w:r>
    </w:p>
  </w:endnote>
  <w:endnote w:type="continuationSeparator" w:id="0">
    <w:p w:rsidR="009F43D6" w:rsidRDefault="009F43D6"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404C9E" w:rsidRDefault="00404C9E">
        <w:pPr>
          <w:pStyle w:val="Footer"/>
          <w:jc w:val="center"/>
        </w:pPr>
        <w:r>
          <w:fldChar w:fldCharType="begin"/>
        </w:r>
        <w:r>
          <w:instrText xml:space="preserve"> PAGE   \* MERGEFORMAT </w:instrText>
        </w:r>
        <w:r>
          <w:fldChar w:fldCharType="separate"/>
        </w:r>
        <w:r w:rsidR="00E41A84">
          <w:rPr>
            <w:noProof/>
          </w:rPr>
          <w:t>2</w:t>
        </w:r>
        <w:r>
          <w:rPr>
            <w:noProof/>
          </w:rPr>
          <w:fldChar w:fldCharType="end"/>
        </w:r>
      </w:p>
    </w:sdtContent>
  </w:sdt>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D6" w:rsidRDefault="009F43D6" w:rsidP="001630F6">
      <w:pPr>
        <w:spacing w:after="0" w:line="240" w:lineRule="auto"/>
      </w:pPr>
      <w:r>
        <w:separator/>
      </w:r>
    </w:p>
  </w:footnote>
  <w:footnote w:type="continuationSeparator" w:id="0">
    <w:p w:rsidR="009F43D6" w:rsidRDefault="009F43D6"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5"/>
  </w:num>
  <w:num w:numId="5">
    <w:abstractNumId w:val="2"/>
  </w:num>
  <w:num w:numId="6">
    <w:abstractNumId w:val="13"/>
  </w:num>
  <w:num w:numId="7">
    <w:abstractNumId w:val="8"/>
  </w:num>
  <w:num w:numId="8">
    <w:abstractNumId w:val="1"/>
  </w:num>
  <w:num w:numId="9">
    <w:abstractNumId w:val="11"/>
  </w:num>
  <w:num w:numId="10">
    <w:abstractNumId w:val="9"/>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6"/>
  </w:num>
  <w:num w:numId="14">
    <w:abstractNumId w:val="3"/>
  </w:num>
  <w:num w:numId="15">
    <w:abstractNumId w:val="12"/>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03D73"/>
    <w:rsid w:val="00012992"/>
    <w:rsid w:val="00022987"/>
    <w:rsid w:val="00026C92"/>
    <w:rsid w:val="00034A54"/>
    <w:rsid w:val="000410AA"/>
    <w:rsid w:val="00055D64"/>
    <w:rsid w:val="000611E1"/>
    <w:rsid w:val="0006278D"/>
    <w:rsid w:val="00070B41"/>
    <w:rsid w:val="0007241F"/>
    <w:rsid w:val="00075887"/>
    <w:rsid w:val="000777FE"/>
    <w:rsid w:val="00077E57"/>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2F8"/>
    <w:rsid w:val="0011387D"/>
    <w:rsid w:val="00115CA8"/>
    <w:rsid w:val="00117BD4"/>
    <w:rsid w:val="001221D0"/>
    <w:rsid w:val="00123A67"/>
    <w:rsid w:val="001256C6"/>
    <w:rsid w:val="001259F3"/>
    <w:rsid w:val="001355FF"/>
    <w:rsid w:val="00135A62"/>
    <w:rsid w:val="001445DF"/>
    <w:rsid w:val="00154D1F"/>
    <w:rsid w:val="001630F6"/>
    <w:rsid w:val="00165DB0"/>
    <w:rsid w:val="001707DC"/>
    <w:rsid w:val="00171F58"/>
    <w:rsid w:val="00176880"/>
    <w:rsid w:val="00183D65"/>
    <w:rsid w:val="00184BA4"/>
    <w:rsid w:val="001A772C"/>
    <w:rsid w:val="001D44B4"/>
    <w:rsid w:val="001D6332"/>
    <w:rsid w:val="001D77E1"/>
    <w:rsid w:val="001F0CDF"/>
    <w:rsid w:val="001F2C08"/>
    <w:rsid w:val="001F3AC8"/>
    <w:rsid w:val="001F5FA7"/>
    <w:rsid w:val="00212B56"/>
    <w:rsid w:val="002137FC"/>
    <w:rsid w:val="0021698F"/>
    <w:rsid w:val="002178DF"/>
    <w:rsid w:val="00224DF0"/>
    <w:rsid w:val="00234556"/>
    <w:rsid w:val="00234F9B"/>
    <w:rsid w:val="00243EDA"/>
    <w:rsid w:val="00245C1C"/>
    <w:rsid w:val="00246F05"/>
    <w:rsid w:val="0025207B"/>
    <w:rsid w:val="002553C5"/>
    <w:rsid w:val="00261CC9"/>
    <w:rsid w:val="0026467E"/>
    <w:rsid w:val="002668B1"/>
    <w:rsid w:val="0026720E"/>
    <w:rsid w:val="00272ACB"/>
    <w:rsid w:val="00276438"/>
    <w:rsid w:val="002851DC"/>
    <w:rsid w:val="002A4246"/>
    <w:rsid w:val="002A6E60"/>
    <w:rsid w:val="002A7EB2"/>
    <w:rsid w:val="002B73D7"/>
    <w:rsid w:val="002C5978"/>
    <w:rsid w:val="002C5F48"/>
    <w:rsid w:val="002C735F"/>
    <w:rsid w:val="002F3797"/>
    <w:rsid w:val="002F4CA4"/>
    <w:rsid w:val="002F5350"/>
    <w:rsid w:val="00320F2C"/>
    <w:rsid w:val="00340842"/>
    <w:rsid w:val="00346BFF"/>
    <w:rsid w:val="00365887"/>
    <w:rsid w:val="00374105"/>
    <w:rsid w:val="00391DA5"/>
    <w:rsid w:val="00396636"/>
    <w:rsid w:val="003A6002"/>
    <w:rsid w:val="003B216C"/>
    <w:rsid w:val="003B3C18"/>
    <w:rsid w:val="003D6D67"/>
    <w:rsid w:val="003D78F8"/>
    <w:rsid w:val="003E428A"/>
    <w:rsid w:val="00404C9E"/>
    <w:rsid w:val="00420D05"/>
    <w:rsid w:val="00423AE1"/>
    <w:rsid w:val="00431D92"/>
    <w:rsid w:val="004361C7"/>
    <w:rsid w:val="004444F1"/>
    <w:rsid w:val="00466171"/>
    <w:rsid w:val="00467CA8"/>
    <w:rsid w:val="004775B9"/>
    <w:rsid w:val="00483A08"/>
    <w:rsid w:val="004A5A77"/>
    <w:rsid w:val="004A72F3"/>
    <w:rsid w:val="004A76CD"/>
    <w:rsid w:val="004B7287"/>
    <w:rsid w:val="004B75D9"/>
    <w:rsid w:val="004B765E"/>
    <w:rsid w:val="004C12E4"/>
    <w:rsid w:val="004C39B2"/>
    <w:rsid w:val="004D272C"/>
    <w:rsid w:val="004E498D"/>
    <w:rsid w:val="004E5679"/>
    <w:rsid w:val="004E6BB2"/>
    <w:rsid w:val="004F2046"/>
    <w:rsid w:val="004F295A"/>
    <w:rsid w:val="004F64C8"/>
    <w:rsid w:val="00500ADF"/>
    <w:rsid w:val="005020C2"/>
    <w:rsid w:val="00502557"/>
    <w:rsid w:val="0052118D"/>
    <w:rsid w:val="0053144F"/>
    <w:rsid w:val="005333BF"/>
    <w:rsid w:val="00534DC9"/>
    <w:rsid w:val="00546D7B"/>
    <w:rsid w:val="00556DDA"/>
    <w:rsid w:val="00562344"/>
    <w:rsid w:val="00580B28"/>
    <w:rsid w:val="00587505"/>
    <w:rsid w:val="005921AC"/>
    <w:rsid w:val="0059301A"/>
    <w:rsid w:val="005975ED"/>
    <w:rsid w:val="005A1AD4"/>
    <w:rsid w:val="005B289F"/>
    <w:rsid w:val="005B681E"/>
    <w:rsid w:val="005C4F20"/>
    <w:rsid w:val="005C5435"/>
    <w:rsid w:val="005D10C0"/>
    <w:rsid w:val="005D4A17"/>
    <w:rsid w:val="005E02F2"/>
    <w:rsid w:val="005E34B0"/>
    <w:rsid w:val="005E3D37"/>
    <w:rsid w:val="005E599E"/>
    <w:rsid w:val="005E66D1"/>
    <w:rsid w:val="006067A5"/>
    <w:rsid w:val="006150E4"/>
    <w:rsid w:val="006241E3"/>
    <w:rsid w:val="00647685"/>
    <w:rsid w:val="006504E9"/>
    <w:rsid w:val="006509C0"/>
    <w:rsid w:val="0065474E"/>
    <w:rsid w:val="0066374E"/>
    <w:rsid w:val="00672731"/>
    <w:rsid w:val="00677DE7"/>
    <w:rsid w:val="00682FC1"/>
    <w:rsid w:val="006A05FD"/>
    <w:rsid w:val="006A7C32"/>
    <w:rsid w:val="006D2CF6"/>
    <w:rsid w:val="006D2DCB"/>
    <w:rsid w:val="006D7B52"/>
    <w:rsid w:val="006E2FE1"/>
    <w:rsid w:val="006F3509"/>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A499C"/>
    <w:rsid w:val="007D01AA"/>
    <w:rsid w:val="007D22F6"/>
    <w:rsid w:val="007E0D5B"/>
    <w:rsid w:val="007E3B14"/>
    <w:rsid w:val="007E509C"/>
    <w:rsid w:val="0081054B"/>
    <w:rsid w:val="008176CE"/>
    <w:rsid w:val="008216C2"/>
    <w:rsid w:val="008334E7"/>
    <w:rsid w:val="0084165B"/>
    <w:rsid w:val="00847A28"/>
    <w:rsid w:val="0085407B"/>
    <w:rsid w:val="00856E76"/>
    <w:rsid w:val="008640D6"/>
    <w:rsid w:val="008659A6"/>
    <w:rsid w:val="0086728D"/>
    <w:rsid w:val="008716F5"/>
    <w:rsid w:val="00872DB5"/>
    <w:rsid w:val="0087312D"/>
    <w:rsid w:val="00875756"/>
    <w:rsid w:val="008776FB"/>
    <w:rsid w:val="00885C51"/>
    <w:rsid w:val="008A041D"/>
    <w:rsid w:val="008A069D"/>
    <w:rsid w:val="008C47EF"/>
    <w:rsid w:val="008C4B46"/>
    <w:rsid w:val="008C6F06"/>
    <w:rsid w:val="008D0025"/>
    <w:rsid w:val="008D487F"/>
    <w:rsid w:val="008E4756"/>
    <w:rsid w:val="008E6FC7"/>
    <w:rsid w:val="00904F21"/>
    <w:rsid w:val="009126EC"/>
    <w:rsid w:val="00916272"/>
    <w:rsid w:val="00916662"/>
    <w:rsid w:val="009171CC"/>
    <w:rsid w:val="00921771"/>
    <w:rsid w:val="00925F21"/>
    <w:rsid w:val="00936152"/>
    <w:rsid w:val="009418D1"/>
    <w:rsid w:val="00944786"/>
    <w:rsid w:val="00947F75"/>
    <w:rsid w:val="00953ABB"/>
    <w:rsid w:val="00974ECA"/>
    <w:rsid w:val="0098167F"/>
    <w:rsid w:val="0098585D"/>
    <w:rsid w:val="009867E9"/>
    <w:rsid w:val="009927E1"/>
    <w:rsid w:val="009C05B6"/>
    <w:rsid w:val="009C606D"/>
    <w:rsid w:val="009D4DAF"/>
    <w:rsid w:val="009D5ACA"/>
    <w:rsid w:val="009F1560"/>
    <w:rsid w:val="009F43D6"/>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0755"/>
    <w:rsid w:val="00AF3B13"/>
    <w:rsid w:val="00B1450B"/>
    <w:rsid w:val="00B15906"/>
    <w:rsid w:val="00B17131"/>
    <w:rsid w:val="00B25E50"/>
    <w:rsid w:val="00B411C3"/>
    <w:rsid w:val="00B55E7B"/>
    <w:rsid w:val="00B605DE"/>
    <w:rsid w:val="00B625AA"/>
    <w:rsid w:val="00B75359"/>
    <w:rsid w:val="00B76BF9"/>
    <w:rsid w:val="00B81422"/>
    <w:rsid w:val="00B8526B"/>
    <w:rsid w:val="00B85F10"/>
    <w:rsid w:val="00B8646C"/>
    <w:rsid w:val="00BA2B17"/>
    <w:rsid w:val="00BA55B6"/>
    <w:rsid w:val="00BD1E46"/>
    <w:rsid w:val="00BD3F3F"/>
    <w:rsid w:val="00BD46A4"/>
    <w:rsid w:val="00BD4988"/>
    <w:rsid w:val="00BD7CAF"/>
    <w:rsid w:val="00BE0BA3"/>
    <w:rsid w:val="00BE50A9"/>
    <w:rsid w:val="00BE6052"/>
    <w:rsid w:val="00BE7E67"/>
    <w:rsid w:val="00BF468D"/>
    <w:rsid w:val="00BF5170"/>
    <w:rsid w:val="00BF79FA"/>
    <w:rsid w:val="00C00D83"/>
    <w:rsid w:val="00C11F17"/>
    <w:rsid w:val="00C13248"/>
    <w:rsid w:val="00C327F4"/>
    <w:rsid w:val="00C368A0"/>
    <w:rsid w:val="00C369DD"/>
    <w:rsid w:val="00C37062"/>
    <w:rsid w:val="00C4218E"/>
    <w:rsid w:val="00C4264C"/>
    <w:rsid w:val="00C433B0"/>
    <w:rsid w:val="00C47A90"/>
    <w:rsid w:val="00C5005B"/>
    <w:rsid w:val="00C713D8"/>
    <w:rsid w:val="00C71B71"/>
    <w:rsid w:val="00C74B56"/>
    <w:rsid w:val="00C8416D"/>
    <w:rsid w:val="00CC017D"/>
    <w:rsid w:val="00CC01CB"/>
    <w:rsid w:val="00CC5DCE"/>
    <w:rsid w:val="00CD2564"/>
    <w:rsid w:val="00CD364A"/>
    <w:rsid w:val="00CE5298"/>
    <w:rsid w:val="00D03DCC"/>
    <w:rsid w:val="00D1085F"/>
    <w:rsid w:val="00D142FE"/>
    <w:rsid w:val="00D34916"/>
    <w:rsid w:val="00D5035F"/>
    <w:rsid w:val="00D5085A"/>
    <w:rsid w:val="00D53C21"/>
    <w:rsid w:val="00D570B7"/>
    <w:rsid w:val="00D61E83"/>
    <w:rsid w:val="00D628D8"/>
    <w:rsid w:val="00D62D49"/>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1A84"/>
    <w:rsid w:val="00E45B92"/>
    <w:rsid w:val="00E71FB8"/>
    <w:rsid w:val="00E738ED"/>
    <w:rsid w:val="00E74E15"/>
    <w:rsid w:val="00E74F1E"/>
    <w:rsid w:val="00E84428"/>
    <w:rsid w:val="00EA2B56"/>
    <w:rsid w:val="00EA5018"/>
    <w:rsid w:val="00EC1B02"/>
    <w:rsid w:val="00ED586D"/>
    <w:rsid w:val="00ED6FE2"/>
    <w:rsid w:val="00EE3C95"/>
    <w:rsid w:val="00EE463E"/>
    <w:rsid w:val="00EF783B"/>
    <w:rsid w:val="00F3436C"/>
    <w:rsid w:val="00F40E1F"/>
    <w:rsid w:val="00F4167D"/>
    <w:rsid w:val="00F42AB9"/>
    <w:rsid w:val="00F455F2"/>
    <w:rsid w:val="00F87DEC"/>
    <w:rsid w:val="00F91988"/>
    <w:rsid w:val="00F976E8"/>
    <w:rsid w:val="00F97756"/>
    <w:rsid w:val="00FA30C2"/>
    <w:rsid w:val="00FA3D27"/>
    <w:rsid w:val="00FA4574"/>
    <w:rsid w:val="00FB0EC1"/>
    <w:rsid w:val="00FB55F2"/>
    <w:rsid w:val="00FC0D51"/>
    <w:rsid w:val="00FD0B9A"/>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FB94-8543-4E72-8214-A9D2BAC3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2020-03-29T16:22:00Z</cp:lastPrinted>
  <dcterms:created xsi:type="dcterms:W3CDTF">2020-04-02T10:22:00Z</dcterms:created>
  <dcterms:modified xsi:type="dcterms:W3CDTF">2020-04-02T10:22:00Z</dcterms:modified>
</cp:coreProperties>
</file>